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requerimento-de-juízo-de-urgência"/>
    <w:p>
      <w:pPr>
        <w:pStyle w:val="Heading2"/>
      </w:pPr>
      <w:r>
        <w:t xml:space="preserve">REQUERIMENTO DE JUÍZO DE URGÊNCIA</w:t>
      </w:r>
    </w:p>
    <w:bookmarkStart w:id="9" w:name="Xfee1aad423dc6cc3cb4466183e6622088a571cf"/>
    <w:p>
      <w:pPr>
        <w:pStyle w:val="Heading3"/>
      </w:pPr>
      <w:r>
        <w:t xml:space="preserve">Execução de Despejo – Processo Especial de Despejo – Arrendamento Comercial – Falta de Pagamento e Caducidade Contratual</w:t>
      </w:r>
    </w:p>
    <w:p>
      <w:pPr>
        <w:pStyle w:val="FirstParagraph"/>
      </w:pPr>
      <w:r>
        <w:rPr>
          <w:b/>
          <w:bCs/>
        </w:rPr>
        <w:t xml:space="preserve">Processo n.º:</w:t>
      </w:r>
      <w:r>
        <w:t xml:space="preserve"> </w:t>
      </w:r>
      <w:r>
        <w:t xml:space="preserve">1234/24.5T8LSB</w:t>
      </w:r>
      <w:r>
        <w:br/>
      </w:r>
      <w:r>
        <w:rPr>
          <w:b/>
          <w:bCs/>
        </w:rPr>
        <w:t xml:space="preserve">Vara:</w:t>
      </w:r>
      <w:r>
        <w:t xml:space="preserve"> </w:t>
      </w:r>
      <w:r>
        <w:t xml:space="preserve">Vara Cível da Comarca de Lisboa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Cível de Lisboa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Empresa de Arrendamento Comercial, Lda.</w:t>
      </w:r>
      <w:r>
        <w:br/>
      </w:r>
      <w:r>
        <w:t xml:space="preserve">NIF: 514 321 987</w:t>
      </w:r>
      <w:r>
        <w:br/>
      </w:r>
      <w:r>
        <w:t xml:space="preserve">Morada: Av. da Liberdade, nº 45, 5.º Esq., 1250‑147 Lisboa</w:t>
      </w:r>
    </w:p>
    <w:p>
      <w:pPr>
        <w:pStyle w:val="BodyText"/>
      </w:pPr>
      <w:r>
        <w:rPr>
          <w:b/>
          <w:bCs/>
        </w:rPr>
        <w:t xml:space="preserve">Representada por:</w:t>
      </w:r>
      <w:r>
        <w:t xml:space="preserve"> </w:t>
      </w:r>
      <w:r>
        <w:t xml:space="preserve">Dr.ª Ana Martins (OAB/Algarve 12345) e Dr. Luís Pereira (OAB/Algarve 67890) – Advogados, com escritório na Rua de São Bento, nº 210, 2.º B, 1200‑821 Lisboa</w:t>
      </w:r>
    </w:p>
    <w:p>
      <w:pPr>
        <w:pStyle w:val="BodyText"/>
      </w:pPr>
      <w:r>
        <w:rPr>
          <w:b/>
          <w:bCs/>
        </w:rPr>
        <w:t xml:space="preserve">Réu:</w:t>
      </w:r>
      <w:r>
        <w:t xml:space="preserve"> </w:t>
      </w:r>
      <w:r>
        <w:t xml:space="preserve">Sr. João da Silva</w:t>
      </w:r>
      <w:r>
        <w:br/>
      </w:r>
      <w:r>
        <w:t xml:space="preserve">NIF: 223 456 789</w:t>
      </w:r>
      <w:r>
        <w:br/>
      </w:r>
      <w:r>
        <w:t xml:space="preserve">Morada: Rua da Boavista, nº 12, 3.º Esq., 1200‑067 Lisboa</w:t>
      </w:r>
    </w:p>
    <w:p>
      <w:r>
        <w:pict>
          <v:rect style="width:0;height:1.5pt" o:hralign="center" o:hrstd="t" o:hr="t"/>
        </w:pict>
      </w:r>
    </w:p>
    <w:bookmarkEnd w:id="9"/>
    <w:bookmarkStart w:id="10" w:name="i.-exposição-dos-factos"/>
    <w:p>
      <w:pPr>
        <w:pStyle w:val="Heading3"/>
      </w:pPr>
      <w:r>
        <w:t xml:space="preserve">I. Exposição dos Factos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Contrato de Arrendamento Comercial</w:t>
      </w:r>
      <w:r>
        <w:t xml:space="preserve"> </w:t>
      </w:r>
      <w:r>
        <w:t xml:space="preserve">– Celebrado em 10 de janeiro de 2021, com vigência de 5 (cinco) anos, entre a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t xml:space="preserve"> </w:t>
      </w:r>
      <w:r>
        <w:t xml:space="preserve">(senhorio) e o</w:t>
      </w:r>
      <w:r>
        <w:t xml:space="preserve"> </w:t>
      </w:r>
      <w:r>
        <w:rPr>
          <w:b/>
          <w:bCs/>
        </w:rPr>
        <w:t xml:space="preserve">Sr. João da Silva</w:t>
      </w:r>
      <w:r>
        <w:t xml:space="preserve"> </w:t>
      </w:r>
      <w:r>
        <w:t xml:space="preserve">(arrendatário), relativo ao estabelecimento comercial sito na</w:t>
      </w:r>
      <w:r>
        <w:t xml:space="preserve"> </w:t>
      </w:r>
      <w:r>
        <w:rPr>
          <w:b/>
          <w:bCs/>
        </w:rPr>
        <w:t xml:space="preserve">Rua da Prata, nº 78, 1.º Dto., 1100‑418 Lisboa</w:t>
      </w:r>
      <w:r>
        <w:t xml:space="preserve">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Incumprimento de Pagamento</w:t>
      </w:r>
      <w:r>
        <w:t xml:space="preserve"> </w:t>
      </w:r>
      <w:r>
        <w:t xml:space="preserve">– O arrendatário deixou de pagar as rendas mensais a partir de 1 de outubro de 2023, totalizando</w:t>
      </w:r>
      <w:r>
        <w:t xml:space="preserve"> </w:t>
      </w:r>
      <w:r>
        <w:rPr>
          <w:b/>
          <w:bCs/>
        </w:rPr>
        <w:t xml:space="preserve">8 (oito)</w:t>
      </w:r>
      <w:r>
        <w:t xml:space="preserve"> </w:t>
      </w:r>
      <w:r>
        <w:t xml:space="preserve">meses em dívida, correspondendo a</w:t>
      </w:r>
      <w:r>
        <w:t xml:space="preserve"> </w:t>
      </w:r>
      <w:r>
        <w:rPr>
          <w:b/>
          <w:bCs/>
        </w:rPr>
        <w:t xml:space="preserve">€ 12 800,00</w:t>
      </w:r>
      <w:r>
        <w:t xml:space="preserve"> </w:t>
      </w:r>
      <w:r>
        <w:t xml:space="preserve">(doze mil e oitocentos euros) de rendas vencidas, sem qualquer comunicação ou justificação.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Obras Não Autorizadas</w:t>
      </w:r>
      <w:r>
        <w:t xml:space="preserve"> </w:t>
      </w:r>
      <w:r>
        <w:t xml:space="preserve">– Entre 15 de novembro de 2023 e 30 de dezembro de 2023, o arrendatário realizou obras de remodelação interior sem prévia autorização escrita do senhorio, gerando custos de</w:t>
      </w:r>
      <w:r>
        <w:t xml:space="preserve"> </w:t>
      </w:r>
      <w:r>
        <w:rPr>
          <w:b/>
          <w:bCs/>
        </w:rPr>
        <w:t xml:space="preserve">€ 6 500,00</w:t>
      </w:r>
      <w:r>
        <w:t xml:space="preserve"> </w:t>
      </w:r>
      <w:r>
        <w:t xml:space="preserve">(seis mil e quinhentos euros) para a reposição do estado original do imóvel.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Caducidade do Contrato</w:t>
      </w:r>
      <w:r>
        <w:t xml:space="preserve"> </w:t>
      </w:r>
      <w:r>
        <w:t xml:space="preserve">– Nos termos do artigo 1097.º, n.º 2, alínea b) do Código Civil, a falta de pagamento de duas rendas consecutivas autoriza a resolução automática do contrato, o que se verifica neste caso.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Ordem de Despejo</w:t>
      </w:r>
      <w:r>
        <w:t xml:space="preserve"> </w:t>
      </w:r>
      <w:r>
        <w:t xml:space="preserve">– Em decisão proferida em</w:t>
      </w:r>
      <w:r>
        <w:t xml:space="preserve"> </w:t>
      </w:r>
      <w:r>
        <w:rPr>
          <w:b/>
          <w:bCs/>
        </w:rPr>
        <w:t xml:space="preserve">15 de fevereiro de 2024</w:t>
      </w:r>
      <w:r>
        <w:t xml:space="preserve">, o Juízo de Direito da Vara Cível de Lisboa decretou a</w:t>
      </w:r>
      <w:r>
        <w:t xml:space="preserve"> </w:t>
      </w:r>
      <w:r>
        <w:rPr>
          <w:b/>
          <w:bCs/>
        </w:rPr>
        <w:t xml:space="preserve">resolução do contrato</w:t>
      </w:r>
      <w:r>
        <w:t xml:space="preserve"> </w:t>
      </w:r>
      <w:r>
        <w:t xml:space="preserve">e determinou o</w:t>
      </w:r>
      <w:r>
        <w:t xml:space="preserve"> </w:t>
      </w:r>
      <w:r>
        <w:rPr>
          <w:b/>
          <w:bCs/>
        </w:rPr>
        <w:t xml:space="preserve">despejo do arrendatário</w:t>
      </w:r>
      <w:r>
        <w:t xml:space="preserve">, fixando o prazo de</w:t>
      </w:r>
      <w:r>
        <w:t xml:space="preserve"> </w:t>
      </w:r>
      <w:r>
        <w:rPr>
          <w:b/>
          <w:bCs/>
        </w:rPr>
        <w:t xml:space="preserve">30 (trinta) dias</w:t>
      </w:r>
      <w:r>
        <w:t xml:space="preserve"> </w:t>
      </w:r>
      <w:r>
        <w:t xml:space="preserve">para desocupação voluntária, sob pena de execução forçada.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Necessidade de Urgência</w:t>
      </w:r>
      <w:r>
        <w:t xml:space="preserve"> </w:t>
      </w:r>
      <w:r>
        <w:t xml:space="preserve">– Decorridos</w:t>
      </w:r>
      <w:r>
        <w:t xml:space="preserve"> </w:t>
      </w:r>
      <w:r>
        <w:rPr>
          <w:b/>
          <w:bCs/>
        </w:rPr>
        <w:t xml:space="preserve">45 (quarenta‑e‑cinco) dias</w:t>
      </w:r>
      <w:r>
        <w:t xml:space="preserve"> </w:t>
      </w:r>
      <w:r>
        <w:t xml:space="preserve">desde a notificação da decisão, o réu permanece no imóvel, impedindo a retomada da exploração comercial pelo senhorio e agravando os prejuízos patrimoniais.</w:t>
      </w:r>
    </w:p>
    <w:bookmarkEnd w:id="10"/>
    <w:bookmarkStart w:id="11" w:name="ii.-fundamentação-jurídica"/>
    <w:p>
      <w:pPr>
        <w:pStyle w:val="Heading3"/>
      </w:pPr>
      <w:r>
        <w:t xml:space="preserve">II. 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3217"/>
        <w:gridCol w:w="272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Artigo</w:t>
            </w:r>
          </w:p>
        </w:tc>
        <w:tc>
          <w:tcPr/>
          <w:p>
            <w:pPr>
              <w:pStyle w:val="Compact"/>
            </w:pPr>
            <w:r>
              <w:t xml:space="preserve">Dispositivo</w:t>
            </w:r>
          </w:p>
        </w:tc>
        <w:tc>
          <w:tcPr/>
          <w:p>
            <w:pPr>
              <w:pStyle w:val="Compact"/>
            </w:pPr>
            <w:r>
              <w:t xml:space="preserve">Aplicação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562.º, n.º 1, CPC</w:t>
            </w:r>
          </w:p>
        </w:tc>
        <w:tc>
          <w:tcPr/>
          <w:p>
            <w:pPr>
              <w:pStyle w:val="Compact"/>
            </w:pPr>
            <w:r>
              <w:t xml:space="preserve">“É admissível o pedido de tutela de urgência quando houver risco de dano irreparável ou de difícil reparação.”</w:t>
            </w:r>
          </w:p>
        </w:tc>
        <w:tc>
          <w:tcPr/>
          <w:p>
            <w:pPr>
              <w:pStyle w:val="Compact"/>
            </w:pPr>
            <w:r>
              <w:t xml:space="preserve">O atraso no despejo implica perda da oportunidade de recomeçar a atividade comercial e aumento dos custos de manutenção do imóvel.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563.º, n.º 2, CPC</w:t>
            </w:r>
          </w:p>
        </w:tc>
        <w:tc>
          <w:tcPr/>
          <w:p>
            <w:pPr>
              <w:pStyle w:val="Compact"/>
            </w:pPr>
            <w:r>
              <w:t xml:space="preserve">“A tutela de urgência pode ser concedida liminarmente, sem ouvir a parte contrária, quando houver fundado receio de que a demora cause prejuízo grave.”</w:t>
            </w:r>
          </w:p>
        </w:tc>
        <w:tc>
          <w:tcPr/>
          <w:p>
            <w:pPr>
              <w:pStyle w:val="Compact"/>
            </w:pPr>
            <w:r>
              <w:t xml:space="preserve">A permanência do réu no imóvel constitui risco de dano grave e irreparável ao requerente.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1097.º, n.º 2, CC</w:t>
            </w:r>
          </w:p>
        </w:tc>
        <w:tc>
          <w:tcPr/>
          <w:p>
            <w:pPr>
              <w:pStyle w:val="Compact"/>
            </w:pPr>
            <w:r>
              <w:t xml:space="preserve">“A falta de pagamento de duas rendas consecutivas autoriza a caducidade do contrato de arrendamento.”</w:t>
            </w:r>
          </w:p>
        </w:tc>
        <w:tc>
          <w:tcPr/>
          <w:p>
            <w:pPr>
              <w:pStyle w:val="Compact"/>
            </w:pPr>
            <w:r>
              <w:t xml:space="preserve">A dívida de 8 meses confirma a caducidade automática do contrato.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1058.º, n.º 1, CC</w:t>
            </w:r>
          </w:p>
        </w:tc>
        <w:tc>
          <w:tcPr/>
          <w:p>
            <w:pPr>
              <w:pStyle w:val="Compact"/>
            </w:pPr>
            <w:r>
              <w:t xml:space="preserve">“O locador tem direito à restituição da coisa arrendada, bem como ao pagamento das rendas vencidas e dos juros moratórios.”</w:t>
            </w:r>
          </w:p>
        </w:tc>
        <w:tc>
          <w:tcPr/>
          <w:p>
            <w:pPr>
              <w:pStyle w:val="Compact"/>
            </w:pPr>
            <w:r>
              <w:t xml:space="preserve">Fundamento para a cobrança das rendas em dívida, juros e indemnização por obras não autorizadas.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794.º, n.º 1, CPC</w:t>
            </w:r>
          </w:p>
        </w:tc>
        <w:tc>
          <w:tcPr/>
          <w:p>
            <w:pPr>
              <w:pStyle w:val="Compact"/>
            </w:pPr>
            <w:r>
              <w:t xml:space="preserve">“A execução forçada pode ser requerida quando a parte devedora não cumpre a obrigação de fazer, não fazer ou entregar coisa.”</w:t>
            </w:r>
          </w:p>
        </w:tc>
        <w:tc>
          <w:tcPr/>
          <w:p>
            <w:pPr>
              <w:pStyle w:val="Compact"/>
            </w:pPr>
            <w:r>
              <w:t xml:space="preserve">Base legal para a execução do despejo.</w:t>
            </w:r>
          </w:p>
        </w:tc>
      </w:tr>
    </w:tbl>
    <w:bookmarkEnd w:id="11"/>
    <w:bookmarkStart w:id="12" w:name="iii.-pedido"/>
    <w:p>
      <w:pPr>
        <w:pStyle w:val="Heading3"/>
      </w:pPr>
      <w:r>
        <w:t xml:space="preserve">III. Pedido</w:t>
      </w:r>
    </w:p>
    <w:p>
      <w:pPr>
        <w:pStyle w:val="FirstParagraph"/>
      </w:pPr>
      <w:r>
        <w:rPr>
          <w:b/>
          <w:bCs/>
        </w:rPr>
        <w:t xml:space="preserve">Em face do exposto,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487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N.º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concessão de juízo de urgência</w:t>
            </w:r>
            <w:r>
              <w:t xml:space="preserve"> </w:t>
            </w:r>
            <w:r>
              <w:t xml:space="preserve">para a</w:t>
            </w:r>
            <w:r>
              <w:t xml:space="preserve"> </w:t>
            </w:r>
            <w:r>
              <w:rPr>
                <w:b/>
                <w:bCs/>
              </w:rPr>
              <w:t xml:space="preserve">execução imediata da ordem de despejo</w:t>
            </w:r>
            <w:r>
              <w:t xml:space="preserve">, nos termos do artigo 562.º, n.º 1, do CPC, com a expedição de</w:t>
            </w:r>
            <w:r>
              <w:t xml:space="preserve"> </w:t>
            </w:r>
            <w:r>
              <w:rPr>
                <w:b/>
                <w:bCs/>
              </w:rPr>
              <w:t xml:space="preserve">mandado de despejo</w:t>
            </w:r>
            <w:r>
              <w:t xml:space="preserve"> </w:t>
            </w:r>
            <w:r>
              <w:t xml:space="preserve">a ser cumprido no prazo máximo de</w:t>
            </w:r>
            <w:r>
              <w:t xml:space="preserve"> </w:t>
            </w:r>
            <w:r>
              <w:rPr>
                <w:b/>
                <w:bCs/>
              </w:rPr>
              <w:t xml:space="preserve">10 (dez) dias úteis</w:t>
            </w:r>
            <w:r>
              <w:t xml:space="preserve"> </w:t>
            </w:r>
            <w:r>
              <w:t xml:space="preserve">a contar da sua notificação ao réu.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fixação de caução</w:t>
            </w:r>
            <w:r>
              <w:t xml:space="preserve"> </w:t>
            </w:r>
            <w:r>
              <w:t xml:space="preserve">no valor de</w:t>
            </w:r>
            <w:r>
              <w:t xml:space="preserve"> </w:t>
            </w:r>
            <w:r>
              <w:rPr>
                <w:b/>
                <w:bCs/>
              </w:rPr>
              <w:t xml:space="preserve">€ 2 000,00</w:t>
            </w:r>
            <w:r>
              <w:t xml:space="preserve"> </w:t>
            </w:r>
            <w:r>
              <w:t xml:space="preserve">(dois mil euros) a cargo do réu, a garantir o cumprimento da ordem de despejo e a cobertura de eventuais danos ao imóvel.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condenação do réu ao pagamento</w:t>
            </w:r>
            <w:r>
              <w:t xml:space="preserve"> </w:t>
            </w:r>
            <w:r>
              <w:t xml:space="preserve">das rendas vencidas (</w:t>
            </w:r>
            <w:r>
              <w:rPr>
                <w:b/>
                <w:bCs/>
              </w:rPr>
              <w:t xml:space="preserve">€ 12 800,00</w:t>
            </w:r>
            <w:r>
              <w:t xml:space="preserve">) acrescidas de juros moratórios à taxa legal de</w:t>
            </w:r>
            <w:r>
              <w:t xml:space="preserve"> </w:t>
            </w:r>
            <w:r>
              <w:rPr>
                <w:b/>
                <w:bCs/>
              </w:rPr>
              <w:t xml:space="preserve">4 % ao ano</w:t>
            </w:r>
            <w:r>
              <w:t xml:space="preserve">, calculados a partir de 1 de outubro de 2023 até à data do efetivo pagamento.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condenação do réu ao pagamento</w:t>
            </w:r>
            <w:r>
              <w:t xml:space="preserve"> </w:t>
            </w:r>
            <w:r>
              <w:t xml:space="preserve">da indemnização pelos custos das obras não autorizadas, no montante de</w:t>
            </w:r>
            <w:r>
              <w:t xml:space="preserve"> </w:t>
            </w:r>
            <w:r>
              <w:rPr>
                <w:b/>
                <w:bCs/>
              </w:rPr>
              <w:t xml:space="preserve">€ 6 500,00</w:t>
            </w:r>
            <w:r>
              <w:t xml:space="preserve">, bem como ao reembolso das despesas de restauro do imóvel, se houver.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imposição de honorários de advogado</w:t>
            </w:r>
            <w:r>
              <w:t xml:space="preserve"> </w:t>
            </w:r>
            <w:r>
              <w:t xml:space="preserve">ao réu, nos termos do artigo 85.º do CPC, a título de sucumbência.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6.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expedição de carta de ordem</w:t>
            </w:r>
            <w:r>
              <w:t xml:space="preserve"> </w:t>
            </w:r>
            <w:r>
              <w:t xml:space="preserve">ao Serviço de Execução de Processos e ao Conservatório de Registo Predial, para que procedam à anotação da presente decisão e à prática de atos necessários à efetivação do despejo.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7.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produção de prova documental</w:t>
            </w:r>
            <w:r>
              <w:t xml:space="preserve"> </w:t>
            </w:r>
            <w:r>
              <w:t xml:space="preserve">(contrato de arrendamento, notificações de cobrança, orçamentos das obras, decisão judicial de 15/02/2024) e, se necessário, prova pericial ao imóvel.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8.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concessão de todos os meios de prova</w:t>
            </w:r>
            <w:r>
              <w:t xml:space="preserve"> </w:t>
            </w:r>
            <w:r>
              <w:t xml:space="preserve">que se mostrem pertinentes, nos termos dos artigos 342.º e seguintes do CPC.</w:t>
            </w:r>
          </w:p>
        </w:tc>
      </w:tr>
    </w:tbl>
    <w:bookmarkEnd w:id="12"/>
    <w:bookmarkStart w:id="13" w:name="iv.-valor-da-causa"/>
    <w:p>
      <w:pPr>
        <w:pStyle w:val="Heading3"/>
      </w:pPr>
      <w:r>
        <w:t xml:space="preserve">IV. Valor da Causa</w:t>
      </w:r>
    </w:p>
    <w:p>
      <w:pPr>
        <w:pStyle w:val="FirstParagraph"/>
      </w:pPr>
      <w:r>
        <w:t xml:space="preserve">Para efeitos de custas e despesas, atribui‑se à causa o valor total de</w:t>
      </w:r>
      <w:r>
        <w:t xml:space="preserve"> </w:t>
      </w:r>
      <w:r>
        <w:rPr>
          <w:b/>
          <w:bCs/>
        </w:rPr>
        <w:t xml:space="preserve">€ 22 800,00</w:t>
      </w:r>
      <w:r>
        <w:t xml:space="preserve"> </w:t>
      </w:r>
      <w:r>
        <w:t xml:space="preserve">(vinte e dois mil e oitocentos euros), correspondente à soma das rendas em dívida, juros, indemnização por obras e honorários.</w:t>
      </w:r>
    </w:p>
    <w:bookmarkEnd w:id="13"/>
    <w:bookmarkStart w:id="14" w:name="v.-documentos-anexos"/>
    <w:p>
      <w:pPr>
        <w:pStyle w:val="Heading3"/>
      </w:pPr>
      <w:r>
        <w:t xml:space="preserve">V. Documentos Anexos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12"/>
        <w:gridCol w:w="580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Cópia do Contrato de Arrendamento Comercial (10/01/2021)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Notificações de cobrança de rendas (outubro 2023 a maio 2024)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Decisão Judicial de 15/02/2024 – Resolução do contrato e ordem de despejo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Orçamentos e faturas das obras realizadas sem autorização (€ 6 500,00)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Cálculo dos juros moratórios até à data presente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Procuração outorgada aos advogados Dr.ª Ana Martins e Dr. Luís Pereira</w:t>
            </w:r>
          </w:p>
        </w:tc>
      </w:tr>
    </w:tbl>
    <w:bookmarkEnd w:id="14"/>
    <w:bookmarkStart w:id="15" w:name="vi.-termos-e-data"/>
    <w:p>
      <w:pPr>
        <w:pStyle w:val="Heading3"/>
      </w:pPr>
      <w:r>
        <w:t xml:space="preserve">VI. Termos e Data</w:t>
      </w:r>
    </w:p>
    <w:p>
      <w:pPr>
        <w:pStyle w:val="FirstParagraph"/>
      </w:pPr>
      <w:r>
        <w:t xml:space="preserve">Lisboa,</w:t>
      </w:r>
      <w:r>
        <w:t xml:space="preserve"> </w:t>
      </w:r>
      <w:r>
        <w:rPr>
          <w:b/>
          <w:bCs/>
        </w:rPr>
        <w:t xml:space="preserve">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Pela Requerente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Dr.ª Ana Martins</w:t>
      </w:r>
      <w:r>
        <w:br/>
      </w:r>
      <w:r>
        <w:t xml:space="preserve">OAB/Algarve 12345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 Luís Pereira</w:t>
      </w:r>
      <w:r>
        <w:br/>
      </w:r>
      <w:r>
        <w:t xml:space="preserve">OAB/Algarve 67890</w:t>
      </w:r>
    </w:p>
    <w:p>
      <w:pPr>
        <w:pStyle w:val="BodyText"/>
      </w:pPr>
      <w:r>
        <w:rPr>
          <w:i/>
          <w:iCs/>
        </w:rPr>
        <w:t xml:space="preserve">Advogados da Empresa de Arrendamento Comercial, Lda.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